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6477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REPUBLIKA HRVATSKA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KARLOVAČKA ŽUPANIJA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OPĆINA BOSILJEVO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39. i 43. Zakona o proračunu (Narodne novine broj 87/08,136/12 i 15/15)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30. Statuta Općine Bosiljevo (Službeni glasnik Općine Bosiljevo  broj 01/18 i 02/18)  Općinsko vijeće Općine Bosiljevo na </w:t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>
        <w:rPr>
          <w:rFonts w:ascii="Times New Roman" w:hAnsi="Times New Roman" w:cs="Times New Roman"/>
          <w:b/>
          <w:bCs/>
          <w:sz w:val="24"/>
          <w:szCs w:val="24"/>
        </w:rPr>
        <w:t>19.06.2019.</w:t>
      </w:r>
      <w:r>
        <w:rPr>
          <w:rFonts w:ascii="Times New Roman" w:hAnsi="Times New Roman" w:cs="Times New Roman"/>
          <w:sz w:val="24"/>
          <w:szCs w:val="24"/>
        </w:rPr>
        <w:t xml:space="preserve"> godine donijelo je: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I. izmjenama i dopunama proračuna Općine Bosiljevo za 2019. godinu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Bosiljevo za 2019. godinu (Službeni glasnik općine Bosiljevo broj 09/2018) mijenja se i glasi: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2575"/>
        <w:gridCol w:w="1793"/>
        <w:gridCol w:w="2170"/>
        <w:gridCol w:w="2171"/>
      </w:tblGrid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 w:rsidP="00FE26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363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Račun prihoda i rashoda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PLANIRANO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NOVI IZNOS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PROMJENA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hadow/>
                <w:color w:val="4472C4"/>
                <w:sz w:val="24"/>
                <w:szCs w:val="24"/>
              </w:rPr>
              <w:t>Ukupni prohodi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9.074.783,00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94.783,00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hadow/>
                <w:color w:val="4472C4"/>
                <w:sz w:val="24"/>
                <w:szCs w:val="24"/>
              </w:rPr>
              <w:t xml:space="preserve">    Ukupni rashodi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4.795.560,00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4.668.560,00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-127.000,00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5.954.440,00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6.011.440,00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financijsku imovinu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 višak/manjak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-1.750.000,00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-1.655.217,00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B) Račun zaduživanja/financiranja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C) Raspoloživa sredstva iz prethodnih godina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1.7560.000,00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1.655.217,00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-94.783,00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D) Višak/manjak + neto zaduživanja  /financiranja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Ukupni prihodi/primici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</w:tr>
      <w:tr w:rsidR="00FE26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Ukupni rashodi7izdaci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10.750.000,00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664" w:rsidRDefault="00FE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hadow/>
                <w:color w:val="4472C4"/>
                <w:sz w:val="24"/>
                <w:szCs w:val="24"/>
              </w:rPr>
              <w:t>0</w:t>
            </w:r>
          </w:p>
        </w:tc>
      </w:tr>
    </w:tbl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2. prihodi i primici, rashodi i izdaci po skupinama, podskupinama i odjeljcima utvrđeni u Računu prihoda i rashoda za 2019. godinu povećavaju se odnosno smanjuju kako slijedi: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općine Bosiljevo.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KLASA:023-05/01-19/04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URBROJ:2133/12-03-19-03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 OPĆINSKOG VIJEĆA: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BOSILJEVO, 19.06.2019.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Marijan Mateša</w:t>
      </w: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2664" w:rsidRDefault="00FE2664" w:rsidP="00FE2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18BC" w:rsidRDefault="004918BC"/>
    <w:sectPr w:rsidR="004918BC" w:rsidSect="003C17F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690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664"/>
    <w:rsid w:val="004918BC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2019-06-27T06:51:00Z</dcterms:created>
  <dcterms:modified xsi:type="dcterms:W3CDTF">2019-06-27T06:52:00Z</dcterms:modified>
</cp:coreProperties>
</file>